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73B2" w14:textId="3E02F85B" w:rsidR="00AA3353" w:rsidRPr="00EC01DC" w:rsidRDefault="00AA3353" w:rsidP="00AA3353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UZASADNIENIE do uchwały nr XXXVI/300/2021 Rady Miejskiej w Gołdapi z dnia 25 maja 2021 r. </w:t>
      </w:r>
      <w:r>
        <w:rPr>
          <w:rFonts w:ascii="Times New Roman" w:hAnsi="Times New Roman" w:cs="Times New Roman"/>
          <w:b/>
          <w:bCs/>
        </w:rPr>
        <w:br/>
      </w:r>
      <w:r w:rsidRPr="002F2C6C">
        <w:rPr>
          <w:rFonts w:ascii="Times New Roman" w:hAnsi="Times New Roman" w:cs="Times New Roman"/>
          <w:b/>
          <w:bCs/>
        </w:rPr>
        <w:t>w sprawie określenia szczegółowego trybu i harmonogramu opracowania projektu „Strategii rozwoju społeczno-gospodarczego Gminy Gołdap do roku 2030”, w tym trybu konsultacji.</w:t>
      </w:r>
    </w:p>
    <w:p w14:paraId="764072E4" w14:textId="77777777" w:rsidR="00AA3353" w:rsidRDefault="00AA3353" w:rsidP="00AA3353">
      <w:pPr>
        <w:pStyle w:val="Standard"/>
        <w:jc w:val="both"/>
      </w:pPr>
    </w:p>
    <w:p w14:paraId="21847F27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>W dniu 13</w:t>
      </w:r>
      <w:r>
        <w:rPr>
          <w:rFonts w:ascii="Times New Roman" w:hAnsi="Times New Roman" w:cs="Times New Roman"/>
        </w:rPr>
        <w:t xml:space="preserve"> </w:t>
      </w:r>
      <w:r w:rsidRPr="002F2C6C">
        <w:rPr>
          <w:rFonts w:ascii="Times New Roman" w:hAnsi="Times New Roman" w:cs="Times New Roman"/>
        </w:rPr>
        <w:t xml:space="preserve">listopada 2020 r. w życie weszły nowe przepisy prawne </w:t>
      </w:r>
      <w:r>
        <w:rPr>
          <w:rFonts w:ascii="Times New Roman" w:hAnsi="Times New Roman" w:cs="Times New Roman"/>
        </w:rPr>
        <w:t>wprowadzone</w:t>
      </w:r>
      <w:r w:rsidRPr="002F2C6C">
        <w:rPr>
          <w:rFonts w:ascii="Times New Roman" w:hAnsi="Times New Roman" w:cs="Times New Roman"/>
        </w:rPr>
        <w:t xml:space="preserve"> Ustawą z dnia 15 lipca 2020 r. o zmianie ustawy o zasadach prowadzenia polityki rozwoju oraz niektórych innych ustaw (Dz.U. 2020 poz. 1378). Ustawa po raz pierwszy w ustawodawstwie krajowym wprowadziła podstawę prawną wprost dla „strategii rozwoju gminy”. Nowelizacją wprowadza się również nowe uregulowania, co do procedury jej opracowania, m.in.:</w:t>
      </w:r>
    </w:p>
    <w:p w14:paraId="730ECB6A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wymagana jest uchwała rady gminy, określająca szczegółowy tryb i harmonogram opracowania projektu strategii rozwoju gminy, w tym tryb jej konsultacji,</w:t>
      </w:r>
    </w:p>
    <w:p w14:paraId="199E8FF4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 xml:space="preserve">wymagane jest konsultowanie projektu strategii z sąsiednimi gminami i ich związkami oraz z właściwym dyrektorem regionalnego zarządu gospodarki wodnej Państwowego Gospodarstwa Wodnego Wody Polskie, </w:t>
      </w:r>
    </w:p>
    <w:p w14:paraId="73055396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wymagane jest opiniowanie przez zarząd województwa w zakresie zgodności z zasadami regionalnej polityki przestrzennej określonej w strategii rozwoju województwa,</w:t>
      </w:r>
    </w:p>
    <w:p w14:paraId="2E649A6E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wymagana konieczność przeprowadzenia ewaluacji ex-</w:t>
      </w:r>
      <w:proofErr w:type="spellStart"/>
      <w:r w:rsidRPr="002F2C6C">
        <w:rPr>
          <w:rFonts w:ascii="Times New Roman" w:hAnsi="Times New Roman" w:cs="Times New Roman"/>
        </w:rPr>
        <w:t>ante</w:t>
      </w:r>
      <w:proofErr w:type="spellEnd"/>
      <w:r w:rsidRPr="002F2C6C">
        <w:rPr>
          <w:rFonts w:ascii="Times New Roman" w:hAnsi="Times New Roman" w:cs="Times New Roman"/>
        </w:rPr>
        <w:t>.</w:t>
      </w:r>
    </w:p>
    <w:p w14:paraId="64852807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 xml:space="preserve">Nowelizacja zdefiniowała ponadto nowe obligatoryjne rozdziały dla strategii, m.in.: </w:t>
      </w:r>
    </w:p>
    <w:p w14:paraId="635D8BFA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model struktury funkcjonalno-przestrzennej gminy,</w:t>
      </w:r>
    </w:p>
    <w:p w14:paraId="16CFE431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ustalenia i rekomendacje w zakresie kształtowania i prowadzenia polityki przestrzennej w gminie,</w:t>
      </w:r>
    </w:p>
    <w:p w14:paraId="4071F4A2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obszary strategicznej interwencji określone w strategii rozwoju województwa, obszary strategicznej interwencji kluczowe dla gminy,</w:t>
      </w:r>
    </w:p>
    <w:p w14:paraId="6EC2B39B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ramy finansowe strategii.</w:t>
      </w:r>
    </w:p>
    <w:p w14:paraId="3E712976" w14:textId="77777777" w:rsidR="00AA3353" w:rsidRPr="002F2C6C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 xml:space="preserve">Obecnie funkcjonujący dokument strategiczny określający długofalowy rozwój gminy </w:t>
      </w:r>
      <w:r>
        <w:rPr>
          <w:rFonts w:ascii="Times New Roman" w:hAnsi="Times New Roman" w:cs="Times New Roman"/>
        </w:rPr>
        <w:t>obowiązuje</w:t>
      </w:r>
      <w:r w:rsidRPr="002F2C6C">
        <w:rPr>
          <w:rFonts w:ascii="Times New Roman" w:hAnsi="Times New Roman" w:cs="Times New Roman"/>
        </w:rPr>
        <w:t xml:space="preserve"> do roku 2025, jednakże należy dostosować go do aktualnych przepisów prawa, czyli ustawy z dnia 15 lipca 2020 r. </w:t>
      </w:r>
      <w:r>
        <w:rPr>
          <w:rFonts w:ascii="Times New Roman" w:hAnsi="Times New Roman" w:cs="Times New Roman"/>
        </w:rPr>
        <w:t xml:space="preserve">                           </w:t>
      </w:r>
      <w:r w:rsidRPr="002F2C6C">
        <w:rPr>
          <w:rFonts w:ascii="Times New Roman" w:hAnsi="Times New Roman" w:cs="Times New Roman"/>
        </w:rPr>
        <w:t xml:space="preserve">o zmianie ustawy o zasadach prowadzenia polityki rozwoju oraz niektórych innych ustaw (Dz.U. 2020 poz. 1378). Opracowanie nowego dokumentu strategii z perspektywą do </w:t>
      </w:r>
      <w:r>
        <w:rPr>
          <w:rFonts w:ascii="Times New Roman" w:hAnsi="Times New Roman" w:cs="Times New Roman"/>
        </w:rPr>
        <w:t>2030</w:t>
      </w:r>
      <w:r w:rsidRPr="002F2C6C">
        <w:rPr>
          <w:rFonts w:ascii="Times New Roman" w:hAnsi="Times New Roman" w:cs="Times New Roman"/>
        </w:rPr>
        <w:t xml:space="preserve"> r., zgodnie z nowymi wytycznymi,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</w:r>
      <w:r w:rsidRPr="002F2C6C">
        <w:rPr>
          <w:rFonts w:ascii="Times New Roman" w:hAnsi="Times New Roman" w:cs="Times New Roman"/>
        </w:rPr>
        <w:t xml:space="preserve">o których mowa w projekcie uchwały - nie tylko pomoże w realizacji szansy, jaką dla gminy stanowią możliwości uzyskania wsparcia z funduszy zewnętrznych oraz skorzystania z nowych instrumentów polityki regionalnej, </w:t>
      </w:r>
      <w:r>
        <w:rPr>
          <w:rFonts w:ascii="Times New Roman" w:hAnsi="Times New Roman" w:cs="Times New Roman"/>
        </w:rPr>
        <w:br/>
      </w:r>
      <w:r w:rsidRPr="002F2C6C">
        <w:rPr>
          <w:rFonts w:ascii="Times New Roman" w:hAnsi="Times New Roman" w:cs="Times New Roman"/>
        </w:rPr>
        <w:t xml:space="preserve">w szczególności w ramach nowej perspektywy budżetowej Unii Europejskiej na lata 2021-2027. Strategia taka, w odróżnieniu od dotychczasowego dokumentu określającego długofalowy rozwój gminy, będzie ściśle wiązać planowanie społeczno-gospodarcze z przestrzennym. Dzięki temu będzie wspierała trwały i zrównoważony rozwój gminy. </w:t>
      </w:r>
    </w:p>
    <w:p w14:paraId="165059EE" w14:textId="77777777" w:rsidR="00AA3353" w:rsidRDefault="00AA3353" w:rsidP="00AA3353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>Mając powyższe na względzie, podjęcie przedmiotowej uchwały jest celowe i uzasadnione.</w:t>
      </w:r>
      <w:r w:rsidRPr="002F2C6C">
        <w:rPr>
          <w:rFonts w:ascii="Times New Roman" w:hAnsi="Times New Roman" w:cs="Times New Roman"/>
        </w:rPr>
        <w:tab/>
      </w:r>
    </w:p>
    <w:p w14:paraId="3C6072AF" w14:textId="77777777" w:rsidR="00274E60" w:rsidRDefault="00274E60"/>
    <w:sectPr w:rsidR="00274E60">
      <w:pgSz w:w="11906" w:h="16838"/>
      <w:pgMar w:top="1418" w:right="1021" w:bottom="992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53"/>
    <w:rsid w:val="00274E60"/>
    <w:rsid w:val="00AA3353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EA3"/>
  <w15:chartTrackingRefBased/>
  <w15:docId w15:val="{8B8712CA-6868-429F-8622-8148199A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A3353"/>
    <w:pPr>
      <w:suppressAutoHyphens/>
      <w:autoSpaceDN w:val="0"/>
      <w:spacing w:after="160" w:line="251" w:lineRule="auto"/>
      <w:ind w:firstLine="0"/>
      <w:jc w:val="left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2</cp:revision>
  <cp:lastPrinted>2021-06-01T08:57:00Z</cp:lastPrinted>
  <dcterms:created xsi:type="dcterms:W3CDTF">2021-06-01T08:54:00Z</dcterms:created>
  <dcterms:modified xsi:type="dcterms:W3CDTF">2021-06-01T08:58:00Z</dcterms:modified>
</cp:coreProperties>
</file>