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XLII/331/2021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określenia szczegółowego trybu i harmonogramu opracowania projektu „Strategii rozwoju społeczno-gospodarczego Gminy Gołdap do roku 2030”, w tym trybu konsultacji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10f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nr XXXVI/300/2021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harmonogramu opracowania projektu „Strategii rozwoju społeczno-gospodarczego Gminy Gołdap do roku 2030”,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tryb konsultacji,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brzmienie 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362ABAAD-C075-4069-A696-09970BEE1733.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362ABAAD-C075-4069-A696-09970BEE1733.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XLII/331/2021 z dnia 28 września 2021 r.</dc:title>
  <dc:subject>zmieniająca uchwałę w^sprawie określenia szczegółowego trybu i^harmonogramu opracowania projektu „Strategii rozwoju społeczno-gospodarczego Gminy Gołdap do roku 2030”, w^tym trybu konsultacji</dc:subject>
  <dc:creator>katarzyna.krusznis</dc:creator>
  <cp:lastModifiedBy>katarzyna.krusznis</cp:lastModifiedBy>
  <cp:revision>1</cp:revision>
  <dcterms:created xsi:type="dcterms:W3CDTF">2021-10-04T13:05:40Z</dcterms:created>
  <dcterms:modified xsi:type="dcterms:W3CDTF">2021-10-04T13:05:40Z</dcterms:modified>
  <cp:category>Akt prawny</cp:category>
</cp:coreProperties>
</file>