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XXXII/265/2021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budżecie Gminy Gołdap w 2021 roku</w:t>
      </w:r>
    </w:p>
    <w:p w:rsidR="00A77B3E">
      <w:pPr>
        <w:keepNext w:val="0"/>
        <w:keepLines/>
        <w:spacing w:before="0" w:after="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 i)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U.z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 co następuje: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XXXI/262/2020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Gołdap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wprowadza się następujące zmiany: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111.104.137,95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– 101.683.724,93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9.420.413,02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118.863.758,13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– 103.783.667,47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majątkowe – 15.080.090,66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15.080.090,66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3."</w:t>
      </w:r>
    </w:p>
    <w:p w:rsidR="00A77B3E">
      <w:pPr>
        <w:keepNext w:val="0"/>
        <w:keepLines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„3.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projekty realizowane ze środków pochodzących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funduszy strukturalnych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Funduszu Spójności oraz pozostałe środki pochodzące ze źródeł zagranicznych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podlegające zwrotowi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11.144.617,32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4."</w:t>
      </w:r>
    </w:p>
    <w:p w:rsidR="00A77B3E">
      <w:pPr>
        <w:keepNext w:val="0"/>
        <w:keepLines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„Deficyt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7.759.620,18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zostanie sfinansowany przychodami pochodzącymi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emisji obligacji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4.500.000,00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wolnymi środkami pochodzącymi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ubiegłych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3.259.620,18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zł."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4:</w:t>
      </w:r>
    </w:p>
    <w:p w:rsidR="00A77B3E">
      <w:pPr>
        <w:keepNext w:val="0"/>
        <w:keepLines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„Przychody budżetu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11.231.468,18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1.769.466,70, rozchody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3.471.848,00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7."</w:t>
      </w:r>
    </w:p>
    <w:p w:rsidR="00A77B3E">
      <w:pPr>
        <w:keepNext w:val="0"/>
        <w:keepLines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uchwały”.</w:t>
      </w:r>
      <w:r>
        <w:t>;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rezerwy celowe: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realizację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zarządzania kryzysowego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350.000,00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realizację budżetu obywatelskiego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- Mazurskiego.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D1CCF3FE-BCC8-43A7-A91A-28428EDB57AF.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XXXII/265/2021 z dnia 26 stycznia 2021 r.</dc:title>
  <dc:subject>w sprawie wprowadzenia zmian w^budżecie Gminy Gołdap w^2021 roku</dc:subject>
  <dc:creator>katarzyna.krusznis</dc:creator>
  <cp:lastModifiedBy>katarzyna.krusznis</cp:lastModifiedBy>
  <cp:revision>1</cp:revision>
  <dcterms:created xsi:type="dcterms:W3CDTF">2021-01-29T12:21:07Z</dcterms:created>
  <dcterms:modified xsi:type="dcterms:W3CDTF">2021-01-29T12:21:07Z</dcterms:modified>
  <cp:category>Akt prawny</cp:category>
</cp:coreProperties>
</file>