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XXXI/255/2020</w:t>
      </w:r>
      <w:r>
        <w:rPr>
          <w:rFonts w:ascii="Times New Roman" w:eastAsia="Times New Roman" w:hAnsi="Times New Roman" w:cs="Times New Roman"/>
          <w:b/>
          <w:caps/>
          <w:sz w:val="22"/>
        </w:rPr>
        <w:br/>
      </w:r>
      <w:r>
        <w:rPr>
          <w:rFonts w:ascii="Times New Roman" w:eastAsia="Times New Roman" w:hAnsi="Times New Roman" w:cs="Times New Roman"/>
          <w:b/>
          <w:caps/>
          <w:sz w:val="22"/>
        </w:rPr>
        <w:t>Rady Miejskiej w Gołdapi</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29 grudnia 2020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wyznaczenia obszaru i granic aglomeracji Gołdap</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art.18 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pkt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15</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marca 1990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roku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samorządzie gminnym (t.j. Dz.U.</w:t>
      </w:r>
      <w:r>
        <w:rPr>
          <w:rFonts w:ascii="Times New Roman" w:eastAsia="Times New Roman" w:hAnsi="Times New Roman" w:cs="Times New Roman"/>
          <w:b w:val="0"/>
          <w:caps w:val="0"/>
          <w:strike w:val="0"/>
          <w:color w:val="auto"/>
          <w:sz w:val="22"/>
          <w:u w:val="none"/>
        </w:rPr>
        <w:br/>
      </w:r>
      <w:r>
        <w:rPr>
          <w:rFonts w:ascii="Times New Roman" w:eastAsia="Times New Roman" w:hAnsi="Times New Roman" w:cs="Times New Roman"/>
          <w:b w:val="0"/>
          <w:caps w:val="0"/>
          <w:strike w:val="0"/>
          <w:color w:val="auto"/>
          <w:sz w:val="22"/>
          <w:u w:val="none"/>
        </w:rPr>
        <w:t>z 2020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poz.713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późn. zm.) oraz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87</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4 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92</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związku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565</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w:t>
      </w:r>
      <w:r>
        <w:rPr>
          <w:rFonts w:ascii="Times New Roman" w:eastAsia="Times New Roman" w:hAnsi="Times New Roman" w:cs="Times New Roman"/>
          <w:b w:val="0"/>
          <w:caps w:val="0"/>
          <w:strike w:val="0"/>
          <w:color w:val="auto"/>
          <w:sz w:val="22"/>
          <w:u w:val="none"/>
        </w:rPr>
        <w:br/>
      </w:r>
      <w:r>
        <w:rPr>
          <w:rFonts w:ascii="Times New Roman" w:eastAsia="Times New Roman" w:hAnsi="Times New Roman" w:cs="Times New Roman"/>
          <w:b w:val="0"/>
          <w:caps w:val="0"/>
          <w:strike w:val="0"/>
          <w:color w:val="auto"/>
          <w:sz w:val="22"/>
          <w:u w:val="none"/>
        </w:rPr>
        <w:t>20 lipca 2017</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Prawo wodne (t.j. Dz.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2020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310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późn. zm.) po uzgodnieniu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Dyrektorem Zarządu Zlewni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Giżycku Państwowego  Gospodarstwa Wodnego Wody Polskie oraz Regionalnym Dyrektorem Ochrony Środowiska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Olsztynie, uchwala się,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caps w:val="0"/>
          <w:strike w:val="0"/>
          <w:color w:val="auto"/>
          <w:sz w:val="22"/>
          <w:u w:val="none"/>
        </w:rPr>
        <w:t>Wyznacza się aglomerację Gołdap położoną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województwie warmińsko-mazurskim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powiecie gołdapskim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równoważnej liczbie mieszkańców 16</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371 (RLM)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oczyszczalnią ścieków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Gołdapi, obejmująca swym zasięgiem część miasta Gołdap, oraz miejscowości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terenu gminy Gołdap: Jurkiszki, część miejscowości Jabramowo, część miejscowości Kozaki, część miejscowości Kośmidry, część miejscowości Niedrzwica, część miejscowości Konikowo, część miejscowości Rostek, część miejscowości Wronki Wielkie, część miejscowości Marcinowo, część miejscowości Grabowo, część miejscowości Botkuny, część miejscowości Kolniszki.</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2. </w:t>
      </w:r>
      <w:r>
        <w:rPr>
          <w:rFonts w:ascii="Times New Roman" w:eastAsia="Times New Roman" w:hAnsi="Times New Roman" w:cs="Times New Roman"/>
          <w:b w:val="0"/>
          <w:caps w:val="0"/>
          <w:strike w:val="0"/>
          <w:color w:val="auto"/>
          <w:sz w:val="22"/>
          <w:u w:val="none"/>
        </w:rPr>
        <w:t>Opis aglomeracji  stanowi załącznik nr 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3. </w:t>
      </w:r>
      <w:r>
        <w:rPr>
          <w:rFonts w:ascii="Times New Roman" w:eastAsia="Times New Roman" w:hAnsi="Times New Roman" w:cs="Times New Roman"/>
          <w:b w:val="0"/>
          <w:caps w:val="0"/>
          <w:strike w:val="0"/>
          <w:color w:val="auto"/>
          <w:sz w:val="22"/>
          <w:u w:val="none"/>
        </w:rPr>
        <w:t>Obszar 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granice aglomeracji,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której mowa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 1, oznaczone są na mapach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skali 1:25000 stanowiących załącznik nr 2</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do uchwały.</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4. </w:t>
      </w:r>
      <w:r>
        <w:rPr>
          <w:rFonts w:ascii="Times New Roman" w:eastAsia="Times New Roman" w:hAnsi="Times New Roman" w:cs="Times New Roman"/>
          <w:b w:val="0"/>
          <w:caps w:val="0"/>
          <w:strike w:val="0"/>
          <w:color w:val="auto"/>
          <w:sz w:val="22"/>
          <w:u w:val="none"/>
        </w:rPr>
        <w:t>Traci moc uchwała Nr III/50/14 Sejmiku Województwa Warmińsko-Mazurskiego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30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grudnia</w:t>
      </w:r>
      <w:r>
        <w:rPr>
          <w:rFonts w:ascii="Times New Roman" w:eastAsia="Times New Roman" w:hAnsi="Times New Roman" w:cs="Times New Roman"/>
          <w:b w:val="0"/>
          <w:caps w:val="0"/>
          <w:strike w:val="0"/>
          <w:color w:val="auto"/>
          <w:sz w:val="22"/>
          <w:u w:val="none"/>
        </w:rPr>
        <w:br/>
      </w:r>
      <w:r>
        <w:rPr>
          <w:rFonts w:ascii="Times New Roman" w:eastAsia="Times New Roman" w:hAnsi="Times New Roman" w:cs="Times New Roman"/>
          <w:b w:val="0"/>
          <w:caps w:val="0"/>
          <w:strike w:val="0"/>
          <w:color w:val="auto"/>
          <w:sz w:val="22"/>
          <w:u w:val="none"/>
        </w:rPr>
        <w:t>2014</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sprawie wyznaczenia aglomeracji Gołdap oraz likwidacji dotychczasowej aglomeracji Gołdap</w:t>
      </w:r>
      <w:r>
        <w:rPr>
          <w:rFonts w:ascii="Times New Roman" w:eastAsia="Times New Roman" w:hAnsi="Times New Roman" w:cs="Times New Roman"/>
          <w:b w:val="0"/>
          <w:caps w:val="0"/>
          <w:strike w:val="0"/>
          <w:color w:val="auto"/>
          <w:sz w:val="22"/>
          <w:u w:val="none"/>
        </w:rPr>
        <w:br/>
      </w:r>
      <w:r>
        <w:rPr>
          <w:rFonts w:ascii="Times New Roman" w:eastAsia="Times New Roman" w:hAnsi="Times New Roman" w:cs="Times New Roman"/>
          <w:b w:val="0"/>
          <w:caps w:val="0"/>
          <w:strike w:val="0"/>
          <w:color w:val="auto"/>
          <w:sz w:val="22"/>
          <w:u w:val="none"/>
        </w:rPr>
        <w:t>(Dz. Urz. Woj. War.- Maz.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2015</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379).</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5. </w:t>
      </w:r>
      <w:r>
        <w:rPr>
          <w:rFonts w:ascii="Times New Roman" w:eastAsia="Times New Roman" w:hAnsi="Times New Roman" w:cs="Times New Roman"/>
          <w:b w:val="0"/>
          <w:caps w:val="0"/>
          <w:strike w:val="0"/>
          <w:color w:val="auto"/>
          <w:sz w:val="22"/>
          <w:u w:val="none"/>
        </w:rPr>
        <w:t>Wykonanie uchwały powierza się Burmistrzowi Gołdapi.</w:t>
      </w:r>
    </w:p>
    <w:p w:rsidR="00A77B3E">
      <w:pPr>
        <w:keepNext/>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6. </w:t>
      </w:r>
      <w:r>
        <w:rPr>
          <w:rFonts w:ascii="Times New Roman" w:eastAsia="Times New Roman" w:hAnsi="Times New Roman" w:cs="Times New Roman"/>
          <w:b w:val="0"/>
          <w:caps w:val="0"/>
          <w:strike w:val="0"/>
          <w:color w:val="auto"/>
          <w:sz w:val="22"/>
          <w:u w:val="none"/>
        </w:rPr>
        <w:t>Uchwała wchodzi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życie po upływie 14</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 od dnia jej ogłoszenia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Dzienniku Urzędowym Województwa Warmińsko- Mazurskiego.</w:t>
      </w:r>
    </w:p>
    <w:p w:rsidR="00A77B3E">
      <w:pPr>
        <w:keepNext/>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p>
    <w:p w:rsidR="00A77B3E">
      <w:pPr>
        <w:keepNext/>
        <w:spacing w:before="0" w:after="0"/>
        <w:rPr>
          <w:rFonts w:ascii="Times New Roman" w:eastAsia="Times New Roman" w:hAnsi="Times New Roman" w:cs="Times New Roman"/>
          <w:b w:val="0"/>
          <w:i w:val="0"/>
          <w:caps w:val="0"/>
          <w:strike w:val="0"/>
          <w:color w:val="auto"/>
          <w:sz w:val="22"/>
          <w:u w:val="none"/>
          <w:vertAlign w:val="baseline"/>
        </w:rPr>
      </w:pPr>
      <w:r>
        <w:rPr>
          <w:b w:val="0"/>
          <w:i w:val="0"/>
          <w:color w:val="000000"/>
          <w:u w:val="none"/>
          <w:vertAlign w:val="baseline"/>
        </w:rPr>
        <w:t> </w:t>
      </w:r>
    </w:p>
    <w:tbl>
      <w:tblPr>
        <w:tblW w:w="5000" w:type="pct"/>
        <w:tblInd w:w="5" w:type="dxa"/>
        <w:tblCellMar>
          <w:top w:w="0" w:type="dxa"/>
          <w:left w:w="0" w:type="dxa"/>
          <w:bottom w:w="0" w:type="dxa"/>
          <w:right w:w="0" w:type="dxa"/>
        </w:tblCellMar>
      </w:tblPr>
      <w:tblGrid>
        <w:gridCol w:w="4930"/>
        <w:gridCol w:w="4930"/>
      </w:tblGrid>
      <w:tr>
        <w:tblPrEx>
          <w:tblW w:w="5000" w:type="pct"/>
          <w:tblInd w:w="5" w:type="dxa"/>
          <w:tblCellMar>
            <w:top w:w="0" w:type="dxa"/>
            <w:left w:w="0" w:type="dxa"/>
            <w:bottom w:w="0" w:type="dxa"/>
            <w:right w:w="0" w:type="dxa"/>
          </w:tblCellMar>
        </w:tblPrEx>
        <w:tc>
          <w:tcPr>
            <w:tcW w:w="2500" w:type="pct"/>
            <w:noWrap w:val="0"/>
            <w:tcMar>
              <w:top w:w="5" w:type="dxa"/>
              <w:left w:w="5" w:type="dxa"/>
              <w:bottom w:w="5" w:type="dxa"/>
              <w:right w:w="5"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5" w:type="dxa"/>
              <w:left w:w="5" w:type="dxa"/>
              <w:bottom w:w="5" w:type="dxa"/>
              <w:right w:w="5"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Miejskiej</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Wojciech Hołdyński</w:t>
            </w:r>
          </w:p>
        </w:tc>
      </w:tr>
    </w:tbl>
    <w:p w:rsidR="00A77B3E">
      <w:pPr>
        <w:keepNext/>
        <w:spacing w:before="0" w:after="0"/>
        <w:rPr>
          <w:rFonts w:ascii="Times New Roman" w:eastAsia="Times New Roman" w:hAnsi="Times New Roman" w:cs="Times New Roman"/>
          <w:b w:val="0"/>
          <w:i w:val="0"/>
          <w:caps w:val="0"/>
          <w:strike w:val="0"/>
          <w:color w:val="auto"/>
          <w:sz w:val="22"/>
          <w:u w:val="none"/>
          <w:vertAlign w:val="baseline"/>
        </w:rPr>
        <w:sectPr>
          <w:footerReference w:type="default" r:id="rId4"/>
          <w:endnotePr>
            <w:numFmt w:val="decimal"/>
          </w:endnotePr>
          <w:pgSz w:w="11906" w:h="16838"/>
          <w:pgMar w:top="992" w:right="1020" w:bottom="992" w:left="1020" w:header="708" w:footer="708" w:gutter="0"/>
          <w:cols w:space="708"/>
          <w:docGrid w:linePitch="360"/>
        </w:sectPr>
      </w:pPr>
    </w:p>
    <w:p w:rsidR="00A77B3E">
      <w:pPr>
        <w:keepNext/>
        <w:spacing w:before="280" w:after="280" w:line="360" w:lineRule="auto"/>
        <w:ind w:left="4535" w:right="0" w:firstLine="0"/>
        <w:jc w:val="left"/>
        <w:rPr>
          <w:rFonts w:ascii="Times New Roman" w:eastAsia="Times New Roman" w:hAnsi="Times New Roman" w:cs="Times New Roman"/>
          <w:b w:val="0"/>
          <w:i w:val="0"/>
          <w:caps w:val="0"/>
          <w:strike w:val="0"/>
          <w:color w:val="auto"/>
          <w:sz w:val="22"/>
          <w:u w:val="none"/>
          <w:vertAlign w:val="baseline"/>
        </w:rPr>
        <w:sectPr>
          <w:footerReference w:type="default" r:id="rId5"/>
          <w:endnotePr>
            <w:numFmt w:val="decimal"/>
          </w:endnotePr>
          <w:type w:val="nextPage"/>
          <w:pgSz w:w="11906" w:h="16838"/>
          <w:pgMar w:top="992" w:right="1020" w:bottom="992" w:left="1020" w:header="708" w:footer="708" w:gutter="0"/>
          <w:pgNumType w:start="1"/>
          <w:cols w:space="708"/>
          <w:docGrid w:linePitch="360"/>
        </w:sectPr>
      </w:pPr>
      <w:r>
        <w:rPr>
          <w:rFonts w:ascii="Times New Roman" w:eastAsia="Times New Roman" w:hAnsi="Times New Roman" w:cs="Times New Roman"/>
          <w:b w:val="0"/>
          <w:i w:val="0"/>
          <w:caps w:val="0"/>
          <w:strike w:val="0"/>
          <w:color w:val="auto"/>
          <w:sz w:val="22"/>
          <w:u w:val="none"/>
          <w:vertAlign w:val="baseline"/>
        </w:rPr>
        <w:fldChar w:fldCharType="begin"/>
      </w:r>
      <w:r>
        <w:rPr>
          <w:rFonts w:ascii="Times New Roman" w:eastAsia="Times New Roman" w:hAnsi="Times New Roman" w:cs="Times New Roman"/>
          <w:b w:val="0"/>
          <w:i w:val="0"/>
          <w:caps w:val="0"/>
          <w:strike w:val="0"/>
          <w:color w:val="auto"/>
          <w:sz w:val="22"/>
          <w:u w:val="none"/>
          <w:vertAlign w:val="baseline"/>
        </w:rPr>
        <w:fldChar w:fldCharType="separate"/>
      </w:r>
      <w:r>
        <w:rPr>
          <w:rFonts w:ascii="Times New Roman" w:eastAsia="Times New Roman" w:hAnsi="Times New Roman" w:cs="Times New Roman"/>
          <w:b w:val="0"/>
          <w:i w:val="0"/>
          <w:caps w:val="0"/>
          <w:strike w:val="0"/>
          <w:color w:val="auto"/>
          <w:sz w:val="22"/>
          <w:u w:val="none"/>
          <w:vertAlign w:val="baseline"/>
        </w:rPr>
        <w:fldChar w:fldCharType="end"/>
      </w:r>
      <w:r>
        <w:t>Załącznik Nr 1 do uchwały</w:t>
      </w:r>
      <w:r>
        <w:rPr>
          <w:rFonts w:ascii="Times New Roman" w:eastAsia="Times New Roman" w:hAnsi="Times New Roman" w:cs="Times New Roman"/>
          <w:b w:val="0"/>
          <w:i w:val="0"/>
          <w:caps w:val="0"/>
          <w:strike w:val="0"/>
          <w:color w:val="auto"/>
          <w:sz w:val="22"/>
          <w:u w:val="none"/>
          <w:vertAlign w:val="baseline"/>
        </w:rPr>
        <w:t xml:space="preserve"> Nr XXXI/255/2020</w:t>
      </w:r>
      <w:r>
        <w:rPr>
          <w:rFonts w:ascii="Times New Roman" w:eastAsia="Times New Roman" w:hAnsi="Times New Roman" w:cs="Times New Roman"/>
          <w:b w:val="0"/>
          <w:i w:val="0"/>
          <w:caps w:val="0"/>
          <w:strike w:val="0"/>
          <w:color w:val="auto"/>
          <w:sz w:val="22"/>
          <w:u w:val="none"/>
          <w:vertAlign w:val="baseline"/>
        </w:rPr>
        <w:br/>
      </w:r>
      <w:r>
        <w:t>Rady Miejskiej w Gołdapi</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sz w:val="22"/>
        </w:rPr>
        <w:t>z dnia 29 grudnia 2020 r.</w:t>
      </w:r>
      <w:r>
        <w:rPr>
          <w:rFonts w:ascii="Times New Roman" w:eastAsia="Times New Roman" w:hAnsi="Times New Roman" w:cs="Times New Roman"/>
          <w:b w:val="0"/>
          <w:i w:val="0"/>
          <w:caps w:val="0"/>
          <w:strike w:val="0"/>
          <w:color w:val="auto"/>
          <w:sz w:val="22"/>
          <w:u w:val="none"/>
          <w:vertAlign w:val="baseline"/>
        </w:rPr>
        <w:br/>
      </w:r>
      <w:hyperlink r:id="rId6" w:history="1">
        <w:r>
          <w:rPr>
            <w:rStyle w:val="Hyperlink"/>
            <w:rFonts w:ascii="Times New Roman" w:eastAsia="Times New Roman" w:hAnsi="Times New Roman" w:cs="Times New Roman"/>
            <w:b w:val="0"/>
            <w:i w:val="0"/>
            <w:caps w:val="0"/>
            <w:strike w:val="0"/>
            <w:color w:val="auto"/>
            <w:sz w:val="22"/>
            <w:u w:val="none"/>
            <w:vertAlign w:val="baseline"/>
          </w:rPr>
          <w:t>Zalacznik1.pdf</w:t>
        </w:r>
      </w:hyperlink>
    </w:p>
    <w:p w:rsidR="00A77B3E">
      <w:pPr>
        <w:keepNext/>
        <w:spacing w:before="280" w:after="280" w:line="360" w:lineRule="auto"/>
        <w:ind w:left="4535" w:right="0" w:firstLine="0"/>
        <w:jc w:val="left"/>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fldChar w:fldCharType="begin"/>
      </w:r>
      <w:r>
        <w:rPr>
          <w:rFonts w:ascii="Times New Roman" w:eastAsia="Times New Roman" w:hAnsi="Times New Roman" w:cs="Times New Roman"/>
          <w:b w:val="0"/>
          <w:i w:val="0"/>
          <w:caps w:val="0"/>
          <w:strike w:val="0"/>
          <w:color w:val="auto"/>
          <w:sz w:val="22"/>
          <w:u w:val="none"/>
          <w:vertAlign w:val="baseline"/>
        </w:rPr>
        <w:fldChar w:fldCharType="separate"/>
      </w:r>
      <w:r>
        <w:rPr>
          <w:rFonts w:ascii="Times New Roman" w:eastAsia="Times New Roman" w:hAnsi="Times New Roman" w:cs="Times New Roman"/>
          <w:b w:val="0"/>
          <w:i w:val="0"/>
          <w:caps w:val="0"/>
          <w:strike w:val="0"/>
          <w:color w:val="auto"/>
          <w:sz w:val="22"/>
          <w:u w:val="none"/>
          <w:vertAlign w:val="baseline"/>
        </w:rPr>
        <w:fldChar w:fldCharType="end"/>
      </w:r>
      <w:r>
        <w:t>Załącznik Nr 2 do uchwały</w:t>
      </w:r>
      <w:r>
        <w:rPr>
          <w:rFonts w:ascii="Times New Roman" w:eastAsia="Times New Roman" w:hAnsi="Times New Roman" w:cs="Times New Roman"/>
          <w:b w:val="0"/>
          <w:i w:val="0"/>
          <w:caps w:val="0"/>
          <w:strike w:val="0"/>
          <w:color w:val="auto"/>
          <w:sz w:val="22"/>
          <w:u w:val="none"/>
          <w:vertAlign w:val="baseline"/>
        </w:rPr>
        <w:t xml:space="preserve"> Nr XXXI/255/2020</w:t>
      </w:r>
      <w:r>
        <w:rPr>
          <w:rFonts w:ascii="Times New Roman" w:eastAsia="Times New Roman" w:hAnsi="Times New Roman" w:cs="Times New Roman"/>
          <w:b w:val="0"/>
          <w:i w:val="0"/>
          <w:caps w:val="0"/>
          <w:strike w:val="0"/>
          <w:color w:val="auto"/>
          <w:sz w:val="22"/>
          <w:u w:val="none"/>
          <w:vertAlign w:val="baseline"/>
        </w:rPr>
        <w:br/>
      </w:r>
      <w:r>
        <w:t>Rady Miejskiej w Gołdapi</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sz w:val="22"/>
        </w:rPr>
        <w:t>z dnia 29 grudnia 2020 r.</w:t>
      </w:r>
      <w:r>
        <w:rPr>
          <w:rFonts w:ascii="Times New Roman" w:eastAsia="Times New Roman" w:hAnsi="Times New Roman" w:cs="Times New Roman"/>
          <w:b w:val="0"/>
          <w:i w:val="0"/>
          <w:caps w:val="0"/>
          <w:strike w:val="0"/>
          <w:color w:val="auto"/>
          <w:sz w:val="22"/>
          <w:u w:val="none"/>
          <w:vertAlign w:val="baseline"/>
        </w:rPr>
        <w:br/>
      </w:r>
      <w:hyperlink r:id="rId7" w:history="1">
        <w:r>
          <w:rPr>
            <w:rStyle w:val="Hyperlink"/>
            <w:rFonts w:ascii="Times New Roman" w:eastAsia="Times New Roman" w:hAnsi="Times New Roman" w:cs="Times New Roman"/>
            <w:b w:val="0"/>
            <w:i w:val="0"/>
            <w:caps w:val="0"/>
            <w:strike w:val="0"/>
            <w:color w:val="auto"/>
            <w:sz w:val="22"/>
            <w:u w:val="none"/>
            <w:vertAlign w:val="baseline"/>
          </w:rPr>
          <w:t>Zalacznik2.pdf</w:t>
        </w:r>
      </w:hyperlink>
    </w:p>
    <w:sectPr>
      <w:footerReference w:type="default" r:id="rId8"/>
      <w:endnotePr>
        <w:numFmt w:val="decimal"/>
      </w:endnotePr>
      <w:type w:val="nextPage"/>
      <w:pgSz w:w="11906" w:h="16838"/>
      <w:pgMar w:top="992" w:right="1020" w:bottom="992" w:left="102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5" w:type="dxa"/>
            <w:bottom w:w="5" w:type="dxa"/>
            <w:right w:w="5"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C610DDB7-EF25-4B78-85F0-CB2BE5DE5F83. Uchwalony</w:t>
          </w:r>
        </w:p>
      </w:tc>
      <w:tc>
        <w:tcPr>
          <w:tcW w:w="3289" w:type="dxa"/>
          <w:tcBorders>
            <w:top w:val="single" w:sz="4" w:space="0" w:color="auto"/>
            <w:left w:val="nil"/>
            <w:bottom w:val="nil"/>
            <w:right w:val="nil"/>
          </w:tcBorders>
          <w:noWrap w:val="0"/>
          <w:tcMar>
            <w:top w:w="100" w:type="dxa"/>
            <w:left w:w="5" w:type="dxa"/>
            <w:bottom w:w="5" w:type="dxa"/>
            <w:right w:w="5"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5" w:type="dxa"/>
            <w:bottom w:w="5" w:type="dxa"/>
            <w:right w:w="5"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C610DDB7-EF25-4B78-85F0-CB2BE5DE5F83. Uchwalony</w:t>
          </w:r>
        </w:p>
      </w:tc>
      <w:tc>
        <w:tcPr>
          <w:tcW w:w="3289" w:type="dxa"/>
          <w:tcBorders>
            <w:top w:val="single" w:sz="4" w:space="0" w:color="auto"/>
            <w:left w:val="nil"/>
            <w:bottom w:val="nil"/>
            <w:right w:val="nil"/>
          </w:tcBorders>
          <w:noWrap w:val="0"/>
          <w:tcMar>
            <w:top w:w="100" w:type="dxa"/>
            <w:left w:w="5" w:type="dxa"/>
            <w:bottom w:w="5" w:type="dxa"/>
            <w:right w:w="5"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5" w:type="dxa"/>
            <w:bottom w:w="5" w:type="dxa"/>
            <w:right w:w="5"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C610DDB7-EF25-4B78-85F0-CB2BE5DE5F83. Uchwalony</w:t>
          </w:r>
        </w:p>
      </w:tc>
      <w:tc>
        <w:tcPr>
          <w:tcW w:w="3289" w:type="dxa"/>
          <w:tcBorders>
            <w:top w:val="single" w:sz="4" w:space="0" w:color="auto"/>
            <w:left w:val="nil"/>
            <w:bottom w:val="nil"/>
            <w:right w:val="nil"/>
          </w:tcBorders>
          <w:noWrap w:val="0"/>
          <w:tcMar>
            <w:top w:w="100" w:type="dxa"/>
            <w:left w:w="5" w:type="dxa"/>
            <w:bottom w:w="5" w:type="dxa"/>
            <w:right w:w="5"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yperlink" Target="Zalacznik1.pdf" TargetMode="External" /><Relationship Id="rId7" Type="http://schemas.openxmlformats.org/officeDocument/2006/relationships/hyperlink" Target="Zalacznik2.pdf" TargetMode="Externa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Gołdapi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XXXI/255/2020 z dnia 29 grudnia 2020 r.</dc:title>
  <dc:subject>w sprawie wyznaczenia obszaru i^granic aglomeracji Gołdap</dc:subject>
  <dc:creator>katarzyna.krusznis</dc:creator>
  <cp:lastModifiedBy>katarzyna.krusznis</cp:lastModifiedBy>
  <cp:revision>1</cp:revision>
  <dcterms:created xsi:type="dcterms:W3CDTF">2021-01-05T15:34:07Z</dcterms:created>
  <dcterms:modified xsi:type="dcterms:W3CDTF">2021-01-05T15:34:07Z</dcterms:modified>
  <cp:category>Akt prawny</cp:category>
</cp:coreProperties>
</file>