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0" w:after="160"/>
        <w:jc w:val="center"/>
      </w:pPr>
      <w:r>
        <w:rPr>
          <w:rFonts w:ascii="Arial" w:hAnsi="Arial" w:eastAsia="Arial"/>
          <w:b/>
          <w:color w:val="000000"/>
          <w:sz w:val="20"/>
        </w:rPr>
        <w:t>PROJEKT</w:t>
      </w:r>
    </w:p>
    <w:p>
      <w:pPr>
        <w:widowControl/>
        <w:spacing w:before="0" w:after="20"/>
        <w:jc w:val="center"/>
      </w:pPr>
      <w:r>
        <w:rPr>
          <w:rFonts w:ascii="Arial" w:hAnsi="Arial" w:eastAsia="Arial"/>
          <w:b/>
          <w:color w:val="000000"/>
          <w:sz w:val="24"/>
        </w:rPr>
        <w:t>UCHWAŁA NR …/…/2026</w:t>
      </w:r>
    </w:p>
    <w:p>
      <w:pPr>
        <w:widowControl/>
        <w:spacing w:before="0" w:after="60"/>
        <w:jc w:val="center"/>
      </w:pPr>
      <w:r>
        <w:rPr>
          <w:rFonts w:ascii="Arial" w:hAnsi="Arial" w:eastAsia="Arial"/>
          <w:b/>
          <w:color w:val="000000"/>
          <w:sz w:val="24"/>
        </w:rPr>
        <w:t>RADY MIEJSKIEJ W GOŁDAPI</w:t>
      </w:r>
    </w:p>
    <w:p>
      <w:pPr>
        <w:widowControl/>
        <w:spacing w:before="0" w:after="200"/>
        <w:jc w:val="center"/>
      </w:pPr>
      <w:r>
        <w:rPr>
          <w:rFonts w:ascii="Arial" w:hAnsi="Arial" w:eastAsia="Arial"/>
          <w:b w:val="0"/>
          <w:color w:val="000000"/>
          <w:sz w:val="21"/>
        </w:rPr>
        <w:t>z dnia ………………… 2026 r.</w:t>
      </w:r>
    </w:p>
    <w:p>
      <w:pPr>
        <w:widowControl/>
        <w:spacing w:before="0" w:after="240"/>
        <w:jc w:val="center"/>
      </w:pPr>
      <w:r>
        <w:rPr>
          <w:rFonts w:ascii="Arial" w:hAnsi="Arial" w:eastAsia="Arial"/>
          <w:b/>
          <w:color w:val="000000"/>
          <w:sz w:val="21"/>
        </w:rPr>
        <w:t>w sprawie ustalenia cen i opłat za korzystanie z obiektów i urządzeń szkół będących jednostkami organizacyjnymi Gminy Gołdap</w:t>
      </w:r>
    </w:p>
    <w:p>
      <w:pPr>
        <w:widowControl/>
        <w:spacing w:before="0" w:after="200" w:line="259" w:lineRule="auto"/>
        <w:jc w:val="both"/>
      </w:pPr>
      <w:r>
        <w:rPr>
          <w:rFonts w:ascii="Arial" w:hAnsi="Arial" w:eastAsia="Arial"/>
          <w:color w:val="000000"/>
          <w:sz w:val="21"/>
        </w:rPr>
        <w:t>Na podstawie art. 18 ust. 2 pkt 15, art. 40 ust. 1 i ust. 2 pkt 4 oraz art. 41 ust. 1 ustawy z dnia 8 marca 1990 r. o samorządzie gminnym (t.j. Dz. U. z 2026 r. poz. 662 z późn. zm.) oraz art. 4 ust. 1 pkt 2 ustawy z dnia 20 grudnia 1996 r. o gospodarce komunalnej (t.j. Dz. U. z 2021 r. poz. 679) Rada Miejska w Gołdapi uchwala, co następuje:</w:t>
      </w:r>
    </w:p>
    <w:p>
      <w:pPr>
        <w:widowControl/>
        <w:spacing w:before="0" w:after="160" w:line="259" w:lineRule="auto"/>
        <w:jc w:val="both"/>
      </w:pPr>
      <w:r>
        <w:rPr>
          <w:rFonts w:ascii="Times New Roman" w:hAnsi="Times New Roman" w:eastAsia="Times New Roman"/>
          <w:color w:val="000000"/>
          <w:sz w:val="21"/>
        </w:rPr>
        <w:t>§ 1. Ustala się ceny i opłaty za odpłatne korzystanie z obiektów i urządzeń szkół będących jednostkami organizacyjnymi Gminy Gołdap w wysokości określonej w załączniku do niniejszej uchwały.</w:t>
      </w:r>
    </w:p>
    <w:p>
      <w:pPr>
        <w:widowControl/>
        <w:spacing w:before="0" w:after="160" w:line="259" w:lineRule="auto"/>
        <w:jc w:val="both"/>
      </w:pPr>
      <w:r>
        <w:rPr>
          <w:rFonts w:ascii="Times New Roman" w:hAnsi="Times New Roman" w:eastAsia="Times New Roman"/>
          <w:color w:val="000000"/>
          <w:sz w:val="21"/>
        </w:rPr>
        <w:t>§ 2. 1. Cennik stosuje się do usług i korzystania z obiektów określonych w załączniku, poza realizacją ustawowych i statutowych zadań szkoły oraz Gminy Gołdap.</w:t>
      </w:r>
    </w:p>
    <w:p>
      <w:pPr>
        <w:widowControl/>
        <w:spacing w:before="0" w:after="320" w:line="259" w:lineRule="auto"/>
        <w:jc w:val="both"/>
      </w:pPr>
      <w:r>
        <w:rPr>
          <w:rFonts w:ascii="Times New Roman" w:hAnsi="Times New Roman" w:eastAsia="Times New Roman"/>
          <w:color w:val="000000"/>
          <w:sz w:val="21"/>
        </w:rPr>
        <w:t>2. Uchwała nie określa czynszu ani innych warunków indywidualnego najmu, dzierżawy lub użyczenia nieruchomości albo jej części. Jeżeli nieruchomość pozostaje w trwałym zarządzie szkoły albo dana czynność podlega innemu szczególnemu reżimowi gospodarowania nieruchomościami, stosuje się właściwe przepisy i kompetencje wynikające z tego reżimu.</w:t>
      </w:r>
    </w:p>
    <w:p>
      <w:pPr>
        <w:widowControl/>
        <w:spacing w:before="0" w:after="320" w:line="259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1"/>
        </w:rPr>
        <w:t>§ 3. Zmiana cen i opłat określonych w załączniku wymaga zmiany niniejszej uchwały.</w:t>
      </w:r>
    </w:p>
    <w:p>
      <w:pPr>
        <w:widowControl/>
        <w:spacing w:before="0" w:after="320" w:line="259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1"/>
        </w:rPr>
        <w:t>§ 4. Wykonanie uchwały powierza się Burmistrzowi Gołdapi.</w:t>
      </w:r>
    </w:p>
    <w:p>
      <w:pPr>
        <w:widowControl/>
        <w:spacing w:before="0" w:after="320" w:line="259" w:lineRule="auto"/>
        <w:jc w:val="both"/>
      </w:pPr>
      <w:r>
        <w:rPr>
          <w:rFonts w:ascii="Times New Roman" w:hAnsi="Times New Roman" w:eastAsia="Times New Roman"/>
          <w:color w:val="000000"/>
          <w:sz w:val="21"/>
        </w:rPr>
        <w:t>§ 5. Uchwała podlega ogłoszeniu w Dzienniku Urzędowym Województwa Warmińsko-Mazurskiego i wchodzi w życie po upływie 14 dni od dnia ogłoszenia.</w:t>
      </w:r>
    </w:p>
    <w:p>
      <w:pPr>
        <w:widowControl/>
        <w:spacing w:before="280"/>
        <w:jc w:val="right"/>
      </w:pPr>
      <w:r>
        <w:rPr>
          <w:rFonts w:ascii="Arial" w:hAnsi="Arial" w:eastAsia="Arial"/>
          <w:color w:val="000000"/>
          <w:sz w:val="21"/>
        </w:rPr>
        <w:t>Przewodniczący Rady Miejskiej</w:t>
        <w:br/>
        <w:br/>
        <w:t>……………………………………</w:t>
      </w:r>
    </w:p>
    <w:p>
      <w:pPr>
        <w:widowControl/>
      </w:pPr>
      <w:r>
        <w:rPr>
          <w:color w:val="000000"/>
        </w:rPr>
        <w:br w:type="page"/>
      </w:r>
    </w:p>
    <w:p>
      <w:pPr>
        <w:widowControl/>
        <w:spacing w:after="200"/>
        <w:jc w:val="right"/>
      </w:pPr>
      <w:r>
        <w:rPr>
          <w:rFonts w:ascii="Arial" w:hAnsi="Arial" w:eastAsia="Arial"/>
          <w:color w:val="000000"/>
          <w:sz w:val="19"/>
        </w:rPr>
        <w:t>Załącznik do uchwały Nr …/…/2026</w:t>
        <w:br/>
        <w:t>Rady Miejskiej w Gołdapi</w:t>
        <w:br/>
        <w:t>z dnia ………………… 2026 r.</w:t>
      </w:r>
    </w:p>
    <w:p>
      <w:pPr>
        <w:widowControl/>
        <w:spacing w:before="0" w:after="240"/>
        <w:jc w:val="center"/>
      </w:pPr>
      <w:r>
        <w:rPr>
          <w:rFonts w:ascii="Arial" w:hAnsi="Arial" w:eastAsia="Arial"/>
          <w:b/>
          <w:color w:val="000000"/>
          <w:sz w:val="23"/>
        </w:rPr>
        <w:t>CENY I OPŁATY ZA KORZYSTANIE Z OBIEKTÓW I URZĄDZEŃ SZKÓŁ</w:t>
      </w:r>
    </w:p>
    <w:p>
      <w:pPr>
        <w:widowControl/>
        <w:spacing w:before="0" w:after="100"/>
        <w:jc w:val="center"/>
      </w:pPr>
      <w:r>
        <w:rPr>
          <w:rFonts w:ascii="Arial" w:hAnsi="Arial" w:eastAsia="Arial"/>
          <w:b/>
          <w:color w:val="000000"/>
          <w:sz w:val="21"/>
        </w:rPr>
        <w:t>Korzystanie godzinowe z obiektów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3249"/>
        <w:gridCol w:w="3249"/>
        <w:gridCol w:w="3249"/>
      </w:tblGrid>
      <w:tr>
        <w:trPr>
          <w:tblHeader w:val="true"/>
          <w:tblHeader w:val="true"/>
        </w:trPr>
        <w:tc>
          <w:tcPr>
            <w:tcW w:type="dxa" w:w="419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eastAsia="Arial"/>
                <w:b/>
                <w:color w:val="000000"/>
                <w:sz w:val="18"/>
              </w:rPr>
              <w:t>Rodzaj obiektu</w:t>
            </w:r>
          </w:p>
        </w:tc>
        <w:tc>
          <w:tcPr>
            <w:tcW w:type="dxa" w:w="2154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eastAsia="Arial"/>
                <w:b/>
                <w:color w:val="000000"/>
                <w:sz w:val="18"/>
              </w:rPr>
              <w:t>Stawka w zł/m²/h brutto</w:t>
            </w:r>
          </w:p>
        </w:tc>
        <w:tc>
          <w:tcPr>
            <w:tcW w:type="dxa" w:w="3402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eastAsia="Arial"/>
                <w:b/>
                <w:color w:val="000000"/>
                <w:sz w:val="18"/>
              </w:rPr>
              <w:t>Stawka w zł/m²/h brutto - z dostępem do multimediów i sprzętu komputerowego</w:t>
            </w:r>
          </w:p>
        </w:tc>
      </w:tr>
      <w:tr>
        <w:tc>
          <w:tcPr>
            <w:tcW w:type="dxa" w:w="419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eastAsia="Arial"/>
                <w:color w:val="000000"/>
                <w:sz w:val="18"/>
              </w:rPr>
              <w:t>Sala dydaktyczna</w:t>
            </w:r>
          </w:p>
        </w:tc>
        <w:tc>
          <w:tcPr>
            <w:tcW w:type="dxa" w:w="2154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eastAsia="Arial"/>
                <w:color w:val="000000"/>
                <w:sz w:val="18"/>
              </w:rPr>
              <w:t>0,55 zł</w:t>
            </w:r>
          </w:p>
        </w:tc>
        <w:tc>
          <w:tcPr>
            <w:tcW w:type="dxa" w:w="3402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eastAsia="Arial"/>
                <w:color w:val="000000"/>
                <w:sz w:val="18"/>
              </w:rPr>
              <w:t>0,75 zł</w:t>
            </w:r>
          </w:p>
        </w:tc>
      </w:tr>
      <w:tr>
        <w:tc>
          <w:tcPr>
            <w:tcW w:type="dxa" w:w="419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eastAsia="Arial"/>
                <w:color w:val="000000"/>
                <w:sz w:val="18"/>
              </w:rPr>
              <w:t>Sala gimnastyczna</w:t>
            </w:r>
          </w:p>
        </w:tc>
        <w:tc>
          <w:tcPr>
            <w:tcW w:type="dxa" w:w="2154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eastAsia="Arial"/>
                <w:color w:val="000000"/>
                <w:sz w:val="18"/>
              </w:rPr>
              <w:t>0,26 zł</w:t>
            </w:r>
          </w:p>
        </w:tc>
        <w:tc>
          <w:tcPr>
            <w:tcW w:type="dxa" w:w="3402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eastAsia="Arial"/>
                <w:color w:val="000000"/>
                <w:sz w:val="18"/>
              </w:rPr>
              <w:t>0,46 zł</w:t>
            </w:r>
          </w:p>
        </w:tc>
      </w:tr>
      <w:tr>
        <w:tc>
          <w:tcPr>
            <w:tcW w:type="dxa" w:w="419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eastAsia="Arial"/>
                <w:color w:val="000000"/>
                <w:sz w:val="18"/>
              </w:rPr>
              <w:t>Węzeł sanitarny przynależny do sali gimnastycznej</w:t>
            </w:r>
          </w:p>
        </w:tc>
        <w:tc>
          <w:tcPr>
            <w:tcW w:type="dxa" w:w="2154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eastAsia="Arial"/>
                <w:color w:val="000000"/>
                <w:sz w:val="18"/>
              </w:rPr>
              <w:t>0,26 zł</w:t>
            </w:r>
          </w:p>
        </w:tc>
        <w:tc>
          <w:tcPr>
            <w:tcW w:type="dxa" w:w="3402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eastAsia="Arial"/>
                <w:color w:val="000000"/>
                <w:sz w:val="18"/>
              </w:rPr>
              <w:t>-</w:t>
            </w:r>
          </w:p>
        </w:tc>
      </w:tr>
      <w:tr>
        <w:tc>
          <w:tcPr>
            <w:tcW w:type="dxa" w:w="419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eastAsia="Arial"/>
                <w:color w:val="000000"/>
                <w:sz w:val="18"/>
              </w:rPr>
              <w:t>Boisko sportowe</w:t>
            </w:r>
          </w:p>
        </w:tc>
        <w:tc>
          <w:tcPr>
            <w:tcW w:type="dxa" w:w="2154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eastAsia="Arial"/>
                <w:color w:val="000000"/>
                <w:sz w:val="18"/>
              </w:rPr>
              <w:t>0,10 zł</w:t>
            </w:r>
          </w:p>
        </w:tc>
        <w:tc>
          <w:tcPr>
            <w:tcW w:type="dxa" w:w="3402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eastAsia="Arial"/>
                <w:color w:val="000000"/>
                <w:sz w:val="18"/>
              </w:rPr>
              <w:t>-</w:t>
            </w:r>
          </w:p>
        </w:tc>
      </w:tr>
    </w:tbl>
    <w:p>
      <w:pPr>
        <w:widowControl/>
        <w:spacing w:after="40"/>
      </w:pPr>
    </w:p>
    <w:p>
      <w:pPr>
        <w:widowControl/>
        <w:spacing w:after="40"/>
      </w:pPr>
    </w:p>
    <w:p>
      <w:pPr>
        <w:widowControl/>
        <w:spacing w:before="0" w:after="100"/>
        <w:jc w:val="center"/>
      </w:pPr>
      <w:r>
        <w:rPr>
          <w:rFonts w:ascii="Arial" w:hAnsi="Arial" w:eastAsia="Arial"/>
          <w:b/>
          <w:color w:val="000000"/>
          <w:sz w:val="21"/>
        </w:rPr>
        <w:t>Korzystanie godzinowe - działalność społeczno-edukacyjna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3249"/>
        <w:gridCol w:w="3249"/>
        <w:gridCol w:w="3249"/>
      </w:tblGrid>
      <w:tr>
        <w:trPr>
          <w:tblHeader w:val="true"/>
          <w:tblHeader w:val="true"/>
        </w:trPr>
        <w:tc>
          <w:tcPr>
            <w:tcW w:type="dxa" w:w="4762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eastAsia="Arial"/>
                <w:b/>
                <w:color w:val="000000"/>
                <w:sz w:val="18"/>
              </w:rPr>
              <w:t>Rodzaj pomieszczenia</w:t>
            </w:r>
          </w:p>
        </w:tc>
        <w:tc>
          <w:tcPr>
            <w:tcW w:type="dxa" w:w="1814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eastAsia="Arial"/>
                <w:b/>
                <w:color w:val="000000"/>
                <w:sz w:val="18"/>
              </w:rPr>
              <w:t>Stawka za godzinę brutto</w:t>
            </w:r>
          </w:p>
        </w:tc>
        <w:tc>
          <w:tcPr>
            <w:tcW w:type="dxa" w:w="317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eastAsia="Arial"/>
                <w:b/>
                <w:color w:val="000000"/>
                <w:sz w:val="18"/>
              </w:rPr>
              <w:t>Uwagi</w:t>
            </w:r>
          </w:p>
        </w:tc>
      </w:tr>
      <w:tr>
        <w:tc>
          <w:tcPr>
            <w:tcW w:type="dxa" w:w="4762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eastAsia="Arial"/>
                <w:color w:val="000000"/>
                <w:sz w:val="18"/>
              </w:rPr>
              <w:t>Pomieszczenia przeznaczone pod działalność społeczno-edukacyjną na rzecz mieszkańców Gminy Gołdap, niezwiązaną z działalnością gospodarczą</w:t>
            </w:r>
          </w:p>
        </w:tc>
        <w:tc>
          <w:tcPr>
            <w:tcW w:type="dxa" w:w="1814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eastAsia="Arial"/>
                <w:color w:val="000000"/>
                <w:sz w:val="18"/>
              </w:rPr>
              <w:t>67,00 zł</w:t>
            </w:r>
          </w:p>
        </w:tc>
        <w:tc>
          <w:tcPr>
            <w:tcW w:type="dxa" w:w="317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/>
            <w:r>
              <w:rPr>
                <w:rFonts w:ascii="Arial" w:hAnsi="Arial" w:eastAsia="Arial"/>
                <w:color w:val="000000"/>
                <w:sz w:val="19"/>
              </w:rPr>
              <w:t>Korzystanie wraz z zapleczem socjalno-sanitarnym (szatnie, toalety, hole)</w:t>
            </w:r>
          </w:p>
        </w:tc>
      </w:tr>
      <w:tr>
        <w:tc>
          <w:tcPr>
            <w:tcW w:type="dxa" w:w="4762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>
              <w:rPr>
                <w:rFonts w:ascii="Arial" w:hAnsi="Arial" w:eastAsia="Arial"/>
                <w:color w:val="000000"/>
                <w:sz w:val="18"/>
              </w:rPr>
              <w:t>Biuro do prowadzenia projektów społeczno-edukacyjnych</w:t>
            </w:r>
          </w:p>
        </w:tc>
        <w:tc>
          <w:tcPr>
            <w:tcW w:type="dxa" w:w="1814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20" w:after="20" w:line="240" w:lineRule="auto"/>
              <w:jc w:val="center"/>
            </w:pPr>
            <w:r>
              <w:rPr>
                <w:rFonts w:ascii="Arial" w:hAnsi="Arial" w:eastAsia="Arial"/>
                <w:color w:val="000000"/>
                <w:sz w:val="18"/>
              </w:rPr>
              <w:t>50,00 zł</w:t>
            </w:r>
          </w:p>
        </w:tc>
        <w:tc>
          <w:tcPr>
            <w:tcW w:type="dxa" w:w="317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/>
            <w:r>
              <w:rPr>
                <w:rFonts w:ascii="Arial" w:hAnsi="Arial" w:eastAsia="Arial"/>
                <w:color w:val="000000"/>
                <w:sz w:val="19"/>
              </w:rPr>
              <w:t>Korzystanie wraz z zapleczem socjalno-sanitarnym (szatnie, toalety, hole)</w:t>
            </w:r>
          </w:p>
        </w:tc>
      </w:tr>
    </w:tbl>
    <w:p>
      <w:pPr>
        <w:jc w:val="center"/>
      </w:pPr>
      <w:r>
        <w:rPr>
          <w:rFonts w:ascii="Arial" w:hAnsi="Arial"/>
          <w:b/>
          <w:color w:val="000000"/>
          <w:sz w:val="23"/>
        </w:rPr>
        <w:t>UZASADNIENIE</w:t>
      </w:r>
    </w:p>
    <w:p>
      <w:pPr>
        <w:jc w:val="both"/>
      </w:pPr>
      <w:r>
        <w:rPr>
          <w:color w:val="000000"/>
        </w:rPr>
        <w:t>Zgodnie z art. 4 ust. 1 pkt 2 ustawy z dnia 20 grudnia 1996 r. o gospodarce komunalnej organ stanowiący jednostki samorządu terytorialnego ustala wysokość cen i opłat albo sposób ich ustalania za usługi komunalne o charakterze użyteczności publicznej oraz za korzystanie z obiektów i urządzeń użyteczności publicznej, jeżeli przepisy szczególne nie stanowią inaczej.</w:t>
      </w:r>
    </w:p>
    <w:p>
      <w:pPr>
        <w:jc w:val="both"/>
      </w:pPr>
      <w:r>
        <w:rPr>
          <w:color w:val="000000"/>
        </w:rPr>
        <w:t>Projekt określa ceny i opłaty za godzinowe korzystanie z obiektów i urządzeń szkół będących jednostkami organizacyjnymi Gminy Gołdap, poza realizacją ustawowych i statutowych zadań szkoły oraz Gminy. Cennik nie obejmuje czynszu ani warunków indywidualnego najmu, dzierżawy lub użyczenia nieruchomości albo ich części, które podlegają właściwym przepisom dotyczącym gospodarowania nieruchomościami.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20" w:right="1191" w:bottom="1020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color w:val="000000"/>
    </w:rPr>
  </w:style>
  <w:style w:type="table" w:default="1" w:styleId="TableNormal">
    <w:name w:val="Normal Table"/>
    <w:uiPriority w:val="99"/>
    <w:semiHidden/>
    <w:unhideWhenUsed/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color w:val="00000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uchwały - ceny i opłaty za korzystanie z obiektów i urządzeń szkół Gminy Gołdap</dc:title>
  <dc:subject>Projekt uchwały taryfowej szkół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